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D2" w:rsidRDefault="00EE68D2" w:rsidP="00EE6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88636" cy="1339703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ni 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55" cy="134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D2" w:rsidRDefault="00EE68D2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6177B" w:rsidRPr="00EE68D2" w:rsidRDefault="00EE68D2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E68D2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="0006177B" w:rsidRPr="00EE68D2">
        <w:rPr>
          <w:rFonts w:ascii="Arial" w:eastAsia="Times New Roman" w:hAnsi="Arial" w:cs="Arial"/>
          <w:sz w:val="24"/>
          <w:szCs w:val="24"/>
          <w:lang w:eastAsia="hr-HR"/>
        </w:rPr>
        <w:t xml:space="preserve">jerujemo da se i Vi kao i mi, veselite početku kampanje sadnje stabala u Hrvatskoj pod nazivom Tjedan kolektivne sadnje stabala u Hrvatskoj 2021.g. sa sloganom </w:t>
      </w:r>
    </w:p>
    <w:p w:rsidR="0006177B" w:rsidRPr="00EE68D2" w:rsidRDefault="0006177B" w:rsidP="0006177B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4"/>
          <w:lang w:eastAsia="hr-HR"/>
        </w:rPr>
      </w:pPr>
      <w:r w:rsidRPr="00EE68D2">
        <w:rPr>
          <w:rFonts w:ascii="Arial" w:eastAsia="Times New Roman" w:hAnsi="Arial" w:cs="Arial"/>
          <w:b/>
          <w:color w:val="00B050"/>
          <w:sz w:val="28"/>
          <w:szCs w:val="24"/>
          <w:lang w:eastAsia="hr-HR"/>
        </w:rPr>
        <w:t>„Zasadi stablo, ne budi panj!“</w:t>
      </w:r>
    </w:p>
    <w:p w:rsidR="0006177B" w:rsidRPr="00EE68D2" w:rsidRDefault="0006177B" w:rsidP="00061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E68D2">
        <w:rPr>
          <w:rFonts w:ascii="Arial" w:eastAsia="Times New Roman" w:hAnsi="Arial" w:cs="Arial"/>
          <w:sz w:val="24"/>
          <w:szCs w:val="24"/>
          <w:lang w:eastAsia="hr-HR"/>
        </w:rPr>
        <w:t>Pripremili</w:t>
      </w:r>
      <w:r w:rsidR="00EE68D2">
        <w:rPr>
          <w:rFonts w:ascii="Arial" w:eastAsia="Times New Roman" w:hAnsi="Arial" w:cs="Arial"/>
          <w:sz w:val="24"/>
          <w:szCs w:val="24"/>
          <w:lang w:eastAsia="hr-HR"/>
        </w:rPr>
        <w:t xml:space="preserve"> smo </w:t>
      </w:r>
      <w:r w:rsidRPr="00EE68D2">
        <w:rPr>
          <w:rFonts w:ascii="Arial" w:eastAsia="Times New Roman" w:hAnsi="Arial" w:cs="Arial"/>
          <w:sz w:val="24"/>
          <w:szCs w:val="24"/>
          <w:lang w:eastAsia="hr-HR"/>
        </w:rPr>
        <w:t>edukativne materijale koji će Vam uvelike pomoći kod procesa sadnje. Naravno, kako bismo sadnju mogli smatrati uspješnom na lokalnom, regionalnom i nacionalnom nivou, potrebno je udovoljiti potr</w:t>
      </w:r>
      <w:r w:rsidR="001667C7" w:rsidRPr="00EE68D2">
        <w:rPr>
          <w:rFonts w:ascii="Arial" w:eastAsia="Times New Roman" w:hAnsi="Arial" w:cs="Arial"/>
          <w:sz w:val="24"/>
          <w:szCs w:val="24"/>
          <w:lang w:eastAsia="hr-HR"/>
        </w:rPr>
        <w:t>ebama za edukacijama</w:t>
      </w:r>
      <w:r w:rsidRPr="00EE68D2">
        <w:rPr>
          <w:rFonts w:ascii="Arial" w:eastAsia="Times New Roman" w:hAnsi="Arial" w:cs="Arial"/>
          <w:sz w:val="24"/>
          <w:szCs w:val="24"/>
          <w:lang w:eastAsia="hr-HR"/>
        </w:rPr>
        <w:t xml:space="preserve">. Na dnu teksta nalaze se linkovi na </w:t>
      </w:r>
      <w:proofErr w:type="spellStart"/>
      <w:r w:rsidRPr="00EE68D2">
        <w:rPr>
          <w:rFonts w:ascii="Arial" w:eastAsia="Times New Roman" w:hAnsi="Arial" w:cs="Arial"/>
          <w:sz w:val="24"/>
          <w:szCs w:val="24"/>
          <w:lang w:eastAsia="hr-HR"/>
        </w:rPr>
        <w:t>YouTube</w:t>
      </w:r>
      <w:proofErr w:type="spellEnd"/>
      <w:r w:rsidRPr="00EE68D2">
        <w:rPr>
          <w:rFonts w:ascii="Arial" w:eastAsia="Times New Roman" w:hAnsi="Arial" w:cs="Arial"/>
          <w:sz w:val="24"/>
          <w:szCs w:val="24"/>
          <w:lang w:eastAsia="hr-HR"/>
        </w:rPr>
        <w:t xml:space="preserve"> kanal Udruge „ZSNBP“ gdje ćete pronaći opsežne</w:t>
      </w:r>
      <w:r w:rsidR="001667C7" w:rsidRPr="00EE68D2">
        <w:rPr>
          <w:rFonts w:ascii="Arial" w:eastAsia="Times New Roman" w:hAnsi="Arial" w:cs="Arial"/>
          <w:sz w:val="24"/>
          <w:szCs w:val="24"/>
          <w:lang w:eastAsia="hr-HR"/>
        </w:rPr>
        <w:t xml:space="preserve"> smjernice u</w:t>
      </w:r>
      <w:r w:rsidRPr="00EE68D2">
        <w:rPr>
          <w:rFonts w:ascii="Arial" w:eastAsia="Times New Roman" w:hAnsi="Arial" w:cs="Arial"/>
          <w:sz w:val="24"/>
          <w:szCs w:val="24"/>
          <w:lang w:eastAsia="hr-HR"/>
        </w:rPr>
        <w:t xml:space="preserve"> svim fazama sadnje. Prije svega, zamolili bismo Vas da pročitate tekst u kojem Vam približavamo važnost svakog pojedinačnog doprinosa, koji će na nivou Hrvatske rezultirati sinergijskim učinkom, odnosno brojnim aktivnostima koje će se održati u sklopu provedbe projekta.</w:t>
      </w:r>
    </w:p>
    <w:p w:rsidR="00EE68D2" w:rsidRPr="00063441" w:rsidRDefault="00EE68D2" w:rsidP="0006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3441" w:rsidRPr="00063441" w:rsidRDefault="00EE68D2" w:rsidP="0006344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hr-HR"/>
        </w:rPr>
      </w:pPr>
      <w:r w:rsidRPr="00EE68D2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hr-HR"/>
        </w:rPr>
        <w:t>UVOD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U globaliziranom svijetu koji se sve brže mijenja, obilježenom izazovima poput četvrte industrijske revolucije i zelene tranzicije, ali i brojnim ugrozama, kao što su klimatske promjene,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pandemije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geopolitički poremećaji ili migracije, planiranje budućnosti danas je možda važnije nego ikada prije. U tom pogledu pravodobno prepoznavanje </w:t>
      </w:r>
      <w:r w:rsid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potreba,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trendova, vlastitih prednosti i slabosti ključno je za pretvaranje izazova i novih mogućnosti u razvojne prilike, ali i za jačanje otpornosti društva i njegove veće spremnosti za suočava</w:t>
      </w:r>
      <w:r w:rsid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nje s nepredvidivim okolnostima onih postojećih i nadolazećih klimatskih promjena.</w:t>
      </w:r>
    </w:p>
    <w:p w:rsidR="007A3A3D" w:rsidRDefault="007A3A3D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 tu svrhu, RH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je započela s</w:t>
      </w:r>
      <w:r w:rsidR="00EE68D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izradom </w:t>
      </w:r>
      <w:r w:rsidR="00063441"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Nacionalne razvojne strategije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do 2030. godine kao krovnog nacionalnog akta strateškog planiranja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kojim se definiraju priorit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eti za dugoročni održiv razvoj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 Dvije su svrhe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Nacionalne razvojne strategije:</w:t>
      </w:r>
    </w:p>
    <w:p w:rsidR="007A3A3D" w:rsidRPr="007A3A3D" w:rsidRDefault="007A3A3D" w:rsidP="007A3A3D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određivanje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dugoročni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h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razvojni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h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smje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rova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i strateški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h ciljeva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za s</w:t>
      </w:r>
      <w:r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ljedećih 10 godina,</w:t>
      </w:r>
    </w:p>
    <w:p w:rsidR="00063441" w:rsidRPr="007A3A3D" w:rsidRDefault="007A3A3D" w:rsidP="007A3A3D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određivanje smjernica i utvrđivanje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rioriteta</w:t>
      </w:r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cjeloukupne</w:t>
      </w:r>
      <w:proofErr w:type="spellEnd"/>
      <w:r w:rsidR="00063441" w:rsidRPr="007A3A3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strategije.</w:t>
      </w:r>
    </w:p>
    <w:p w:rsidR="007A3A3D" w:rsidRDefault="007A3A3D" w:rsidP="007A3A3D">
      <w:p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:rsidR="007A3A3D" w:rsidRDefault="007A3A3D" w:rsidP="007A3A3D">
      <w:p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:rsidR="00CD2044" w:rsidRDefault="00CD2044" w:rsidP="00CD204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50"/>
          <w:sz w:val="36"/>
          <w:szCs w:val="3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00B050"/>
          <w:sz w:val="36"/>
          <w:szCs w:val="33"/>
          <w:lang w:eastAsia="hr-HR"/>
        </w:rPr>
        <w:drawing>
          <wp:inline distT="0" distB="0" distL="0" distR="0">
            <wp:extent cx="2907761" cy="2246388"/>
            <wp:effectExtent l="0" t="0" r="6985" b="190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h 20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55" cy="22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44" w:rsidRDefault="00CD2044" w:rsidP="00CD204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50"/>
          <w:sz w:val="36"/>
          <w:szCs w:val="33"/>
          <w:lang w:eastAsia="hr-HR"/>
        </w:rPr>
      </w:pPr>
    </w:p>
    <w:p w:rsidR="007A3A3D" w:rsidRPr="00063441" w:rsidRDefault="007A3A3D" w:rsidP="00CD204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50"/>
          <w:sz w:val="36"/>
          <w:szCs w:val="33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36"/>
          <w:szCs w:val="33"/>
          <w:lang w:eastAsia="hr-HR"/>
        </w:rPr>
        <w:t xml:space="preserve">Nacionalna razvojna strategija </w:t>
      </w:r>
      <w:r w:rsidRPr="007A3A3D">
        <w:rPr>
          <w:rFonts w:ascii="Arial" w:eastAsia="Times New Roman" w:hAnsi="Arial" w:cs="Arial"/>
          <w:b/>
          <w:bCs/>
          <w:color w:val="00B050"/>
          <w:sz w:val="36"/>
          <w:szCs w:val="33"/>
          <w:lang w:eastAsia="hr-HR"/>
        </w:rPr>
        <w:t xml:space="preserve">RH </w:t>
      </w:r>
      <w:r w:rsidRPr="00063441">
        <w:rPr>
          <w:rFonts w:ascii="Arial" w:eastAsia="Times New Roman" w:hAnsi="Arial" w:cs="Arial"/>
          <w:b/>
          <w:bCs/>
          <w:color w:val="00B050"/>
          <w:sz w:val="36"/>
          <w:szCs w:val="33"/>
          <w:lang w:eastAsia="hr-HR"/>
        </w:rPr>
        <w:t>do 2030. godine</w:t>
      </w:r>
    </w:p>
    <w:p w:rsidR="007A3A3D" w:rsidRDefault="007A3A3D" w:rsidP="007A3A3D">
      <w:p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:rsidR="007A3A3D" w:rsidRPr="007A3A3D" w:rsidRDefault="007A3A3D" w:rsidP="007A3A3D">
      <w:p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Sa obzirom na djelatnosti, ciljeve i Statut Udruge, izdvajamo prioritetna područja u kojima ćemo biti angažirani</w:t>
      </w:r>
      <w:r w:rsidR="00A02194">
        <w:rPr>
          <w:rFonts w:ascii="Arial" w:eastAsia="Times New Roman" w:hAnsi="Arial" w:cs="Arial"/>
          <w:color w:val="000000" w:themeColor="text1"/>
          <w:lang w:eastAsia="hr-HR"/>
        </w:rPr>
        <w:t xml:space="preserve"> kroz provedbe ekoloških kolektivnih kampanja i projekata u RH.</w:t>
      </w:r>
    </w:p>
    <w:p w:rsidR="007A3A3D" w:rsidRPr="00A02194" w:rsidRDefault="007A3A3D" w:rsidP="00A02194">
      <w:pPr>
        <w:pStyle w:val="Odlomakpopisa"/>
        <w:numPr>
          <w:ilvl w:val="0"/>
          <w:numId w:val="1"/>
        </w:numPr>
        <w:spacing w:after="72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>Klimatske promjene i održivo korištenje resursa</w:t>
      </w:r>
    </w:p>
    <w:p w:rsidR="007A3A3D" w:rsidRPr="00A02194" w:rsidRDefault="007A3A3D" w:rsidP="00A02194">
      <w:pPr>
        <w:pStyle w:val="Odlomakpopisa"/>
        <w:numPr>
          <w:ilvl w:val="0"/>
          <w:numId w:val="1"/>
        </w:numPr>
        <w:spacing w:after="72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>Rastuća urbanizacija i očuvanje kvalitete života</w:t>
      </w:r>
    </w:p>
    <w:p w:rsidR="007A3A3D" w:rsidRPr="00A02194" w:rsidRDefault="007A3A3D" w:rsidP="00A02194">
      <w:pPr>
        <w:pStyle w:val="Odlomakpopisa"/>
        <w:numPr>
          <w:ilvl w:val="0"/>
          <w:numId w:val="1"/>
        </w:numPr>
        <w:spacing w:after="72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>Ekološka tranzicija za klimatsku neutralnost</w:t>
      </w:r>
    </w:p>
    <w:p w:rsidR="007A3A3D" w:rsidRPr="00A02194" w:rsidRDefault="007A3A3D" w:rsidP="00A02194">
      <w:pPr>
        <w:pStyle w:val="Odlomakpopisa"/>
        <w:numPr>
          <w:ilvl w:val="0"/>
          <w:numId w:val="1"/>
        </w:numPr>
        <w:spacing w:after="72" w:line="240" w:lineRule="auto"/>
        <w:textAlignment w:val="baseline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hr-HR"/>
        </w:rPr>
        <w:t>Razvoj pametnih i održivih gradova</w:t>
      </w:r>
    </w:p>
    <w:p w:rsidR="00D42F27" w:rsidRPr="00CD2044" w:rsidRDefault="007A3A3D" w:rsidP="00CD2044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>Digitalna tranzicija</w:t>
      </w:r>
    </w:p>
    <w:p w:rsidR="00D42F27" w:rsidRPr="00D42F27" w:rsidRDefault="00D42F27" w:rsidP="00D42F27">
      <w:pPr>
        <w:spacing w:before="204" w:after="72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7"/>
          <w:szCs w:val="27"/>
          <w:u w:val="single"/>
          <w:lang w:eastAsia="hr-HR"/>
        </w:rPr>
      </w:pPr>
      <w:r w:rsidRPr="00D42F27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D42F27">
        <w:rPr>
          <w:rFonts w:ascii="Arial" w:eastAsia="Times New Roman" w:hAnsi="Arial" w:cs="Arial"/>
          <w:bCs/>
          <w:noProof/>
          <w:color w:val="00B050"/>
          <w:sz w:val="27"/>
          <w:szCs w:val="27"/>
          <w:u w:val="single"/>
          <w:lang w:eastAsia="hr-HR"/>
        </w:rPr>
        <w:drawing>
          <wp:inline distT="0" distB="0" distL="0" distR="0" wp14:anchorId="721E92B3" wp14:editId="19EEC422">
            <wp:extent cx="1360967" cy="923732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tanable go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21" cy="92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F27">
        <w:rPr>
          <w:rFonts w:ascii="Arial" w:eastAsia="Times New Roman" w:hAnsi="Arial" w:cs="Arial"/>
          <w:bCs/>
          <w:color w:val="00B050"/>
          <w:sz w:val="27"/>
          <w:szCs w:val="27"/>
          <w:u w:val="single"/>
          <w:lang w:eastAsia="hr-HR"/>
        </w:rPr>
        <w:t xml:space="preserve">  </w:t>
      </w:r>
      <w:r w:rsidRPr="00D42F27">
        <w:rPr>
          <w:rFonts w:ascii="Arial" w:eastAsia="Times New Roman" w:hAnsi="Arial" w:cs="Arial"/>
          <w:bCs/>
          <w:noProof/>
          <w:color w:val="00B050"/>
          <w:sz w:val="27"/>
          <w:szCs w:val="27"/>
          <w:u w:val="single"/>
          <w:lang w:eastAsia="hr-HR"/>
        </w:rPr>
        <w:drawing>
          <wp:inline distT="0" distB="0" distL="0" distR="0" wp14:anchorId="77E6FD6D" wp14:editId="73953DD3">
            <wp:extent cx="2296633" cy="1148320"/>
            <wp:effectExtent l="0" t="0" r="889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o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98" cy="115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F27">
        <w:rPr>
          <w:rFonts w:ascii="Arial" w:eastAsia="Times New Roman" w:hAnsi="Arial" w:cs="Arial"/>
          <w:bCs/>
          <w:color w:val="00B050"/>
          <w:sz w:val="27"/>
          <w:szCs w:val="27"/>
          <w:u w:val="single"/>
          <w:lang w:eastAsia="hr-HR"/>
        </w:rPr>
        <w:t xml:space="preserve"> </w:t>
      </w:r>
      <w:r w:rsidRPr="00D42F27">
        <w:rPr>
          <w:rFonts w:ascii="Arial" w:eastAsia="Times New Roman" w:hAnsi="Arial" w:cs="Arial"/>
          <w:bCs/>
          <w:noProof/>
          <w:color w:val="00B050"/>
          <w:sz w:val="27"/>
          <w:szCs w:val="27"/>
          <w:u w:val="single"/>
          <w:lang w:eastAsia="hr-HR"/>
        </w:rPr>
        <w:drawing>
          <wp:inline distT="0" distB="0" distL="0" distR="0" wp14:anchorId="3F71B1FA" wp14:editId="07C59413">
            <wp:extent cx="1997652" cy="903128"/>
            <wp:effectExtent l="0" t="0" r="317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60" cy="9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27" w:rsidRPr="00D42F27" w:rsidRDefault="00D42F27" w:rsidP="00D42F27">
      <w:pPr>
        <w:pStyle w:val="Default"/>
        <w:jc w:val="center"/>
        <w:rPr>
          <w:rFonts w:asciiTheme="majorHAnsi" w:hAnsiTheme="majorHAnsi" w:cs="Cambria"/>
          <w:sz w:val="32"/>
        </w:rPr>
      </w:pPr>
    </w:p>
    <w:p w:rsidR="00D42F27" w:rsidRDefault="00D42F27" w:rsidP="00D42F27">
      <w:pPr>
        <w:pStyle w:val="Default"/>
        <w:jc w:val="center"/>
        <w:rPr>
          <w:rFonts w:asciiTheme="majorHAnsi" w:hAnsiTheme="majorHAnsi" w:cs="Cambria"/>
          <w:b/>
          <w:i/>
          <w:sz w:val="32"/>
        </w:rPr>
      </w:pPr>
      <w:r w:rsidRPr="008B0053">
        <w:rPr>
          <w:rFonts w:asciiTheme="majorHAnsi" w:hAnsiTheme="majorHAnsi" w:cs="Cambria"/>
          <w:b/>
          <w:i/>
          <w:sz w:val="32"/>
        </w:rPr>
        <w:t xml:space="preserve">UDRUGA JE DOBITNICA </w:t>
      </w:r>
      <w:r w:rsidRPr="00CD2044">
        <w:rPr>
          <w:rFonts w:asciiTheme="majorHAnsi" w:hAnsiTheme="majorHAnsi" w:cs="Cambria"/>
          <w:b/>
          <w:i/>
          <w:sz w:val="32"/>
          <w:highlight w:val="yellow"/>
        </w:rPr>
        <w:t>1.</w:t>
      </w:r>
      <w:r w:rsidRPr="008B0053">
        <w:rPr>
          <w:rFonts w:asciiTheme="majorHAnsi" w:hAnsiTheme="majorHAnsi" w:cs="Cambria"/>
          <w:b/>
          <w:i/>
          <w:sz w:val="32"/>
        </w:rPr>
        <w:t xml:space="preserve"> MJESTA </w:t>
      </w:r>
    </w:p>
    <w:p w:rsidR="00D42F27" w:rsidRPr="008B0053" w:rsidRDefault="00CD2044" w:rsidP="00D42F27">
      <w:pPr>
        <w:pStyle w:val="Default"/>
        <w:jc w:val="center"/>
        <w:rPr>
          <w:rFonts w:asciiTheme="majorHAnsi" w:hAnsiTheme="majorHAnsi" w:cs="Cambria"/>
          <w:b/>
          <w:i/>
          <w:sz w:val="32"/>
        </w:rPr>
      </w:pPr>
      <w:r>
        <w:rPr>
          <w:rFonts w:asciiTheme="majorHAnsi" w:hAnsiTheme="majorHAnsi" w:cs="Cambria"/>
          <w:b/>
          <w:i/>
          <w:noProof/>
          <w:sz w:val="32"/>
        </w:rPr>
        <w:drawing>
          <wp:inline distT="0" distB="0" distL="0" distR="0">
            <wp:extent cx="3870251" cy="3101840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ti okvir Zasadi stablo, ne budi panj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488" cy="312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44" w:rsidRDefault="00CD2044" w:rsidP="00D42F27">
      <w:pPr>
        <w:pStyle w:val="Default"/>
        <w:jc w:val="center"/>
        <w:rPr>
          <w:rFonts w:asciiTheme="majorHAnsi" w:hAnsiTheme="majorHAnsi" w:cs="Cambria"/>
          <w:sz w:val="22"/>
        </w:rPr>
      </w:pPr>
    </w:p>
    <w:p w:rsidR="00D42F27" w:rsidRPr="00CD2044" w:rsidRDefault="00D42F27" w:rsidP="00CD2044">
      <w:pPr>
        <w:pStyle w:val="Default"/>
        <w:jc w:val="center"/>
        <w:rPr>
          <w:rFonts w:asciiTheme="majorHAnsi" w:hAnsiTheme="majorHAnsi" w:cs="Cambria"/>
        </w:rPr>
      </w:pPr>
      <w:r w:rsidRPr="00CD2044">
        <w:rPr>
          <w:rFonts w:asciiTheme="majorHAnsi" w:hAnsiTheme="majorHAnsi" w:cs="Cambria"/>
        </w:rPr>
        <w:t xml:space="preserve">Udruga je dobitnica </w:t>
      </w:r>
      <w:r w:rsidRPr="00CD2044">
        <w:rPr>
          <w:rFonts w:asciiTheme="majorHAnsi" w:hAnsiTheme="majorHAnsi" w:cs="Cambria"/>
          <w:b/>
          <w:u w:val="single"/>
        </w:rPr>
        <w:t>1.</w:t>
      </w:r>
      <w:r w:rsidRPr="00CD2044">
        <w:rPr>
          <w:rFonts w:asciiTheme="majorHAnsi" w:hAnsiTheme="majorHAnsi" w:cs="Cambria"/>
        </w:rPr>
        <w:t xml:space="preserve"> mjesta </w:t>
      </w:r>
      <w:r w:rsidRPr="00CD2044">
        <w:rPr>
          <w:rFonts w:asciiTheme="majorHAnsi" w:hAnsiTheme="majorHAnsi" w:cs="Cambria"/>
          <w:b/>
          <w:u w:val="single"/>
        </w:rPr>
        <w:t xml:space="preserve">National </w:t>
      </w:r>
      <w:proofErr w:type="spellStart"/>
      <w:r w:rsidRPr="00CD2044">
        <w:rPr>
          <w:rFonts w:asciiTheme="majorHAnsi" w:hAnsiTheme="majorHAnsi" w:cs="Cambria"/>
          <w:b/>
          <w:u w:val="single"/>
        </w:rPr>
        <w:t>Geographica</w:t>
      </w:r>
      <w:proofErr w:type="spellEnd"/>
      <w:r w:rsidRPr="00CD2044">
        <w:rPr>
          <w:rFonts w:asciiTheme="majorHAnsi" w:hAnsiTheme="majorHAnsi" w:cs="Cambria"/>
        </w:rPr>
        <w:t xml:space="preserve"> u kategoriji broj 15. „Život na kopnu“, koju je dod</w:t>
      </w:r>
      <w:r w:rsidR="00CD2044" w:rsidRPr="00CD2044">
        <w:rPr>
          <w:rFonts w:asciiTheme="majorHAnsi" w:hAnsiTheme="majorHAnsi" w:cs="Cambria"/>
        </w:rPr>
        <w:t>i</w:t>
      </w:r>
      <w:r w:rsidRPr="00CD2044">
        <w:rPr>
          <w:rFonts w:asciiTheme="majorHAnsi" w:hAnsiTheme="majorHAnsi" w:cs="Cambria"/>
        </w:rPr>
        <w:t xml:space="preserve">jelilo </w:t>
      </w:r>
      <w:r w:rsidRPr="00CD2044">
        <w:rPr>
          <w:rFonts w:asciiTheme="majorHAnsi" w:hAnsiTheme="majorHAnsi" w:cs="Cambria"/>
          <w:b/>
          <w:u w:val="single"/>
        </w:rPr>
        <w:t>Ministarstvo zaštite okoliša i prirode</w:t>
      </w:r>
      <w:r w:rsidRPr="00CD2044">
        <w:rPr>
          <w:rFonts w:asciiTheme="majorHAnsi" w:hAnsiTheme="majorHAnsi" w:cs="Cambria"/>
        </w:rPr>
        <w:t xml:space="preserve"> te izdavačka kuća </w:t>
      </w:r>
      <w:proofErr w:type="spellStart"/>
      <w:r w:rsidRPr="00CD2044">
        <w:rPr>
          <w:rFonts w:asciiTheme="majorHAnsi" w:hAnsiTheme="majorHAnsi" w:cs="Cambria"/>
          <w:b/>
          <w:u w:val="single"/>
        </w:rPr>
        <w:t>Adria</w:t>
      </w:r>
      <w:proofErr w:type="spellEnd"/>
      <w:r w:rsidRPr="00CD2044">
        <w:rPr>
          <w:rFonts w:asciiTheme="majorHAnsi" w:hAnsiTheme="majorHAnsi" w:cs="Cambria"/>
          <w:b/>
          <w:u w:val="single"/>
        </w:rPr>
        <w:t xml:space="preserve"> </w:t>
      </w:r>
      <w:proofErr w:type="spellStart"/>
      <w:r w:rsidRPr="00CD2044">
        <w:rPr>
          <w:rFonts w:asciiTheme="majorHAnsi" w:hAnsiTheme="majorHAnsi" w:cs="Cambria"/>
          <w:b/>
          <w:u w:val="single"/>
        </w:rPr>
        <w:t>Media</w:t>
      </w:r>
      <w:proofErr w:type="spellEnd"/>
      <w:r w:rsidRPr="00CD2044">
        <w:rPr>
          <w:rFonts w:asciiTheme="majorHAnsi" w:hAnsiTheme="majorHAnsi" w:cs="Cambria"/>
          <w:b/>
          <w:u w:val="single"/>
        </w:rPr>
        <w:t xml:space="preserve"> Zagreb</w:t>
      </w:r>
      <w:r w:rsidR="00CD2044">
        <w:rPr>
          <w:rFonts w:asciiTheme="majorHAnsi" w:hAnsiTheme="majorHAnsi" w:cs="Cambria"/>
        </w:rPr>
        <w:t xml:space="preserve"> </w:t>
      </w:r>
    </w:p>
    <w:p w:rsidR="00D42F27" w:rsidRPr="00CD2044" w:rsidRDefault="00D42F27" w:rsidP="00D42F27">
      <w:pPr>
        <w:pStyle w:val="Default"/>
        <w:jc w:val="center"/>
        <w:rPr>
          <w:rFonts w:asciiTheme="majorHAnsi" w:hAnsiTheme="majorHAnsi" w:cs="Cambria"/>
        </w:rPr>
      </w:pPr>
      <w:r w:rsidRPr="00CD2044">
        <w:rPr>
          <w:rFonts w:asciiTheme="majorHAnsi" w:hAnsiTheme="majorHAnsi" w:cs="Cambria"/>
        </w:rPr>
        <w:t xml:space="preserve">Nagrada se dodjeljuje organizacijama, pojedincima te ostalim prijavljenim koji su svojim radom doprinijeli konceptu održivog razvoja te primjeni strategija ublažavanja klimatskih promjena prema sporazumu UN-a, odnosno </w:t>
      </w:r>
      <w:r w:rsidRPr="00CD2044">
        <w:rPr>
          <w:rFonts w:asciiTheme="majorHAnsi" w:hAnsiTheme="majorHAnsi" w:cs="Cambria"/>
          <w:b/>
          <w:u w:val="single"/>
        </w:rPr>
        <w:t>17</w:t>
      </w:r>
      <w:r w:rsidR="00CD2044" w:rsidRPr="00CD2044">
        <w:rPr>
          <w:rFonts w:asciiTheme="majorHAnsi" w:hAnsiTheme="majorHAnsi" w:cs="Cambria"/>
          <w:b/>
          <w:u w:val="single"/>
        </w:rPr>
        <w:t>.</w:t>
      </w:r>
      <w:r w:rsidRPr="00CD2044">
        <w:rPr>
          <w:rFonts w:asciiTheme="majorHAnsi" w:hAnsiTheme="majorHAnsi" w:cs="Cambria"/>
          <w:b/>
          <w:u w:val="single"/>
        </w:rPr>
        <w:t xml:space="preserve"> globalnih ciljeva</w:t>
      </w:r>
    </w:p>
    <w:p w:rsidR="00D42F27" w:rsidRPr="00CD2044" w:rsidRDefault="00D42F27" w:rsidP="00D42F27">
      <w:pPr>
        <w:pStyle w:val="Default"/>
        <w:jc w:val="center"/>
        <w:rPr>
          <w:rFonts w:asciiTheme="majorHAnsi" w:hAnsiTheme="majorHAnsi" w:cs="Cambria"/>
        </w:rPr>
      </w:pPr>
      <w:r w:rsidRPr="00CD2044">
        <w:rPr>
          <w:rFonts w:asciiTheme="majorHAnsi" w:hAnsiTheme="majorHAnsi" w:cs="Cambria"/>
        </w:rPr>
        <w:t xml:space="preserve">Ova prestižna javna nagrada je potvrda da smo primjer dobre prakse, te nas itekako motivira za još veće daljnje poduhvate, a </w:t>
      </w:r>
      <w:r w:rsidR="00CD2044" w:rsidRPr="00CD2044">
        <w:rPr>
          <w:rFonts w:asciiTheme="majorHAnsi" w:hAnsiTheme="majorHAnsi" w:cs="Cambria"/>
        </w:rPr>
        <w:t xml:space="preserve">sudjelovanjem </w:t>
      </w:r>
      <w:r w:rsidRPr="00CD2044">
        <w:rPr>
          <w:rFonts w:asciiTheme="majorHAnsi" w:hAnsiTheme="majorHAnsi" w:cs="Cambria"/>
        </w:rPr>
        <w:t>nam može</w:t>
      </w:r>
      <w:r w:rsidR="00CD2044" w:rsidRPr="00CD2044">
        <w:rPr>
          <w:rFonts w:asciiTheme="majorHAnsi" w:hAnsiTheme="majorHAnsi" w:cs="Cambria"/>
        </w:rPr>
        <w:t xml:space="preserve">te pomoći da pokrenemo i ostvarimo još </w:t>
      </w:r>
      <w:r w:rsidR="00CD2044">
        <w:rPr>
          <w:rFonts w:asciiTheme="majorHAnsi" w:hAnsiTheme="majorHAnsi" w:cs="Cambria"/>
        </w:rPr>
        <w:t>veće poduhvate.</w:t>
      </w:r>
    </w:p>
    <w:p w:rsidR="00063441" w:rsidRDefault="00063441" w:rsidP="00085863">
      <w:pPr>
        <w:spacing w:before="204" w:after="72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lastRenderedPageBreak/>
        <w:t>Klimatske promjene i održivo korištenje resursa</w:t>
      </w:r>
    </w:p>
    <w:p w:rsidR="00A02194" w:rsidRDefault="00063441" w:rsidP="00A0219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Zbog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tektonskih poremećaja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koje će imati utjecaj na okoliš, poput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 xml:space="preserve">gubitka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bioraznolikosti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smanjenja prehrambenih i prirodnih resursa, te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povećanja broja suša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požara i poplava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kao i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ubrzanja podizanja razine mora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klimatske promjene bit će za čovječanstvo 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najveći globalni izazov 21. stoljeća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Nesagledive posljedice koje će imati na poljoprivredu, gospodarstvo, energetiku, zdravlje ljudi i ljudske migracije, s rastućim brojem klimatskih izbjeglica, bit će uzrokom sve većih geopolitičkih nestabilnosti na brojnim kontinen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tima. </w:t>
      </w:r>
    </w:p>
    <w:p w:rsidR="00085863" w:rsidRDefault="00063441" w:rsidP="00A0219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Unatoč naporima poduzetim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u okviru Pariškog sporazuma, očekuje se globalni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 xml:space="preserve">rast emisija ugljikovog dioksida za 13 %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do 2035. godine. 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Svi ti izazovi povezani s okolišem i globalnim zatopl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jenjem, u središte pozornosti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stavljaju način korištenja prirodnih resursa radi osiguranja dovoljne količine zdrave hrane, vode i »čiste« energije jer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klimatske promjene već imaju stvarne i mjerljive učinke na ljudsko zdravlje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</w:p>
    <w:p w:rsid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Za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Hrvatsku će to ponajprije značiti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: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smanjenje </w:t>
      </w:r>
      <w:proofErr w:type="spellStart"/>
      <w:r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bioraznolikosti</w:t>
      </w:r>
      <w:proofErr w:type="spellEnd"/>
      <w:r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, 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više ekstremnih vremenskih prilika, 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poplava, suša i požar</w:t>
      </w:r>
    </w:p>
    <w:p w:rsidR="00085863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nastavak porasta razine mora</w:t>
      </w:r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</w:p>
    <w:p w:rsidR="00063441" w:rsidRPr="00063441" w:rsidRDefault="00063441" w:rsidP="00A02194">
      <w:p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što su 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izazovi koji zah</w:t>
      </w:r>
      <w:r w:rsidR="00085863" w:rsidRPr="00A0219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tijevaju ambiciozni zajednički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 xml:space="preserve"> odgovor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na tragu Europskog zelenog plana. </w:t>
      </w:r>
    </w:p>
    <w:p w:rsidR="00063441" w:rsidRPr="00063441" w:rsidRDefault="00063441" w:rsidP="00085863">
      <w:pPr>
        <w:spacing w:before="204" w:after="72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t>Rastuća urbanizacija i očuvanje kvalitete života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Očekuje se da će do 2030. godine dvije trećine svjetskog stanovništva živjeti u gradovima, zbog čega će porasti broj malih gradova, ali i broj mega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gradova s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više od 10 milijuna stanovnika. Iako je značaj velikih gradova u Europi manji nego u ostatku svijeta (u gradovima većim od 5 milijuna stanovnika živi 7 % stanovnika EU-a u usporedbi s 25 % u SAD-u), tri četvrtine Europljana danas živi u gradovima s više od 100.000 stanovnika.</w:t>
      </w:r>
    </w:p>
    <w:p w:rsidR="00085863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 druge strane,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gradovi su najveći generator emisija stakleničkih plinova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te se u njima stvara 75 % ukupnih svjetskih emisija CO</w:t>
      </w:r>
      <w:r w:rsidRPr="00063441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2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Gradovi su izvor ekonomskih mogućnosti, ali i mjesto u kojem u prosjeku živi velik broj siromašnih ljudi. To znači da je većina stanovništva izložena specifičnim posljedicama klimatskih promjena, onečišćenja okoliša, mobilnosti, zagušenosti u prometu i s</w:t>
      </w:r>
      <w:r w:rsidR="00085863"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ocijalne isključenosti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.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Taj je izazov još složeniji i zbog svoje multidisciplinarne prirode koja zahtijeva djelotvorno usuglašavanje ekonomskih i socijalnih rješenja.</w:t>
      </w:r>
    </w:p>
    <w:p w:rsid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36"/>
          <w:u w:val="single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36"/>
          <w:lang w:eastAsia="hr-HR"/>
        </w:rPr>
        <w:t xml:space="preserve">Gospodarski i društveni razvoj u ravnoteži s prirodom predviđen unutar četiri razvojna smjera </w:t>
      </w:r>
      <w:r w:rsidRPr="00063441">
        <w:rPr>
          <w:rFonts w:ascii="Arial" w:eastAsia="Times New Roman" w:hAnsi="Arial" w:cs="Arial"/>
          <w:color w:val="000000" w:themeColor="text1"/>
          <w:sz w:val="24"/>
          <w:szCs w:val="36"/>
          <w:u w:val="single"/>
          <w:lang w:eastAsia="hr-HR"/>
        </w:rPr>
        <w:t>stvorit će prilike za sadašnje i buduće generacije</w:t>
      </w:r>
      <w:r w:rsidR="00085863">
        <w:rPr>
          <w:rFonts w:ascii="Arial" w:eastAsia="Times New Roman" w:hAnsi="Arial" w:cs="Arial"/>
          <w:color w:val="000000" w:themeColor="text1"/>
          <w:sz w:val="24"/>
          <w:szCs w:val="36"/>
          <w:u w:val="single"/>
          <w:lang w:eastAsia="hr-HR"/>
        </w:rPr>
        <w:t>.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18"/>
          <w:szCs w:val="24"/>
          <w:lang w:eastAsia="hr-HR"/>
        </w:rPr>
      </w:pPr>
    </w:p>
    <w:p w:rsidR="00063441" w:rsidRPr="00063441" w:rsidRDefault="00063441" w:rsidP="00A0219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>Zelena i digitalna tranzicija ostvarit će se prelaskom na čistu i dostupniju energi</w:t>
      </w:r>
      <w:r w:rsidR="00085863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 xml:space="preserve">ju, </w:t>
      </w:r>
      <w:r w:rsidR="00085863" w:rsidRPr="00A02194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 xml:space="preserve">poticanjem zelenih </w:t>
      </w:r>
      <w:r w:rsidRPr="00063441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 xml:space="preserve">ulaganja,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>dekarbonizacijom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 xml:space="preserve"> zgrada, razvojem kružnog gospodarstva, jačanjem samodostatnosti u proizvodnji hrane,</w:t>
      </w:r>
      <w:r w:rsidRPr="00063441">
        <w:rPr>
          <w:rFonts w:ascii="Arial" w:eastAsia="Times New Roman" w:hAnsi="Arial" w:cs="Arial"/>
          <w:b/>
          <w:bCs/>
          <w:color w:val="000000" w:themeColor="text1"/>
          <w:sz w:val="24"/>
          <w:szCs w:val="27"/>
          <w:lang w:eastAsia="hr-HR"/>
        </w:rPr>
        <w:t xml:space="preserve"> </w:t>
      </w:r>
      <w:r w:rsidRPr="00063441">
        <w:rPr>
          <w:rFonts w:ascii="Arial" w:eastAsia="Times New Roman" w:hAnsi="Arial" w:cs="Arial"/>
          <w:bCs/>
          <w:color w:val="000000" w:themeColor="text1"/>
          <w:sz w:val="24"/>
          <w:szCs w:val="27"/>
          <w:lang w:eastAsia="hr-HR"/>
        </w:rPr>
        <w:t xml:space="preserve">razvojem </w:t>
      </w:r>
      <w:proofErr w:type="spellStart"/>
      <w:r w:rsidRPr="00063441">
        <w:rPr>
          <w:rFonts w:ascii="Arial" w:eastAsia="Times New Roman" w:hAnsi="Arial" w:cs="Arial"/>
          <w:bCs/>
          <w:color w:val="000000" w:themeColor="text1"/>
          <w:sz w:val="24"/>
          <w:szCs w:val="27"/>
          <w:lang w:eastAsia="hr-HR"/>
        </w:rPr>
        <w:t>biogospodarstva</w:t>
      </w:r>
      <w:proofErr w:type="spellEnd"/>
      <w:r w:rsidRPr="00063441">
        <w:rPr>
          <w:rFonts w:ascii="Arial" w:eastAsia="Times New Roman" w:hAnsi="Arial" w:cs="Arial"/>
          <w:bCs/>
          <w:color w:val="000000" w:themeColor="text1"/>
          <w:sz w:val="24"/>
          <w:szCs w:val="27"/>
          <w:lang w:eastAsia="hr-HR"/>
        </w:rPr>
        <w:t xml:space="preserve"> te očuvanjem i obnovom ekosustava i </w:t>
      </w:r>
      <w:proofErr w:type="spellStart"/>
      <w:r w:rsidRPr="00063441">
        <w:rPr>
          <w:rFonts w:ascii="Arial" w:eastAsia="Times New Roman" w:hAnsi="Arial" w:cs="Arial"/>
          <w:bCs/>
          <w:color w:val="000000" w:themeColor="text1"/>
          <w:sz w:val="24"/>
          <w:szCs w:val="27"/>
          <w:lang w:eastAsia="hr-HR"/>
        </w:rPr>
        <w:t>bioraznolikosti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7"/>
          <w:lang w:eastAsia="hr-HR"/>
        </w:rPr>
        <w:t>.</w:t>
      </w:r>
    </w:p>
    <w:p w:rsidR="00063441" w:rsidRPr="00063441" w:rsidRDefault="00063441" w:rsidP="00063441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85863">
      <w:pPr>
        <w:spacing w:after="48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u w:val="single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t>P</w:t>
      </w:r>
      <w:r w:rsidRPr="00063441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hr-HR"/>
        </w:rPr>
        <w:t>rioritetna područja za strateški cilj Ekološka tranzicija za klimatsku neutralnost: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smanjenje onečišćenja zraka i emisija stakleničkih plinova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prevencija rizika, promicanje otpornosti i prilagodbe na klimatske promjene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razvoj zelene infrastrukture na urbanim područjima i stvaranje zelenih gradova</w:t>
      </w:r>
    </w:p>
    <w:p w:rsidR="00063441" w:rsidRPr="00A02194" w:rsidRDefault="00063441" w:rsidP="00A02194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očuvanje i poboljšanje </w:t>
      </w:r>
      <w:proofErr w:type="spellStart"/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bioraznolikosti</w:t>
      </w:r>
      <w:proofErr w:type="spellEnd"/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te održivo upravljanje ekosustavima, prirodnim dobrima i </w:t>
      </w:r>
      <w:proofErr w:type="spellStart"/>
      <w:r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bioraznolikošću</w:t>
      </w:r>
      <w:proofErr w:type="spellEnd"/>
      <w:r w:rsidR="00085863" w:rsidRP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85863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Gubitak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bioraznolikosti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i funkcionalnih ekosustava uzrokovao bi nesagledivu štetu za gospodarstvo i stanovništvo. Očuvanje i poboljšanje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bioraznolikosti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povećanje prirodnog kapitala, sprječavanje onečišćenja i zaštita okoliša 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zajednička je zadaća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a 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zaštita od klimatskih promjena obveza je prema budućim generacijama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 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Potaknut će se 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razvoj zelene infrastrukture na urbanim područjima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kao što su p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lanski osmišljene zelene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površine i druga prostorna rješenja temeljena na prirodi koja pridonose očuvanju, poboljšanju i očuvanju prirode, prirodnih funkcija i procesa, te će se obratiti pozornost na </w:t>
      </w:r>
      <w:r w:rsidRPr="000634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r-HR"/>
        </w:rPr>
        <w:t>revitalizaciju urbanih prostora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063441" w:rsidRPr="00063441" w:rsidRDefault="00063441" w:rsidP="00063441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85863">
      <w:pPr>
        <w:spacing w:after="48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u w:val="single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t>P</w:t>
      </w:r>
      <w:r w:rsidRPr="00063441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hr-HR"/>
        </w:rPr>
        <w:t>rioritetna područja za strateški cilj </w:t>
      </w:r>
      <w:r w:rsidRPr="00063441">
        <w:rPr>
          <w:rFonts w:ascii="Arial" w:eastAsia="Times New Roman" w:hAnsi="Arial" w:cs="Arial"/>
          <w:b/>
          <w:bCs/>
          <w:iCs/>
          <w:color w:val="00B050"/>
          <w:sz w:val="24"/>
          <w:szCs w:val="26"/>
          <w:u w:val="single"/>
          <w:lang w:eastAsia="hr-HR"/>
        </w:rPr>
        <w:t>Razvoj pametnih i održivih gradova:</w:t>
      </w:r>
    </w:p>
    <w:p w:rsidR="00063441" w:rsidRDefault="00063441" w:rsidP="00063441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Cilj je poduprijeti jačanje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manjih gradova kako bi se njihovim razvojem umanjile razlike između urbanih i gradskih područja i povećala kvaliteta života na cjelokupnom gravitacijsko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području, a naročito u njegovim ruralnim dijelovima. S druge strane, radi povećanja kvalitete života u urbanim središtima ulagat će se u unaprjeđenje prigradskog i gradskog prometa i poticanje zdravih oblika kretanja, cirkularno gospodarenje urbanim prostorom i zgradama, regeneraciju </w:t>
      </w:r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»</w:t>
      </w:r>
      <w:proofErr w:type="spellStart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brownfield</w:t>
      </w:r>
      <w:proofErr w:type="spellEnd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« 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lokacija i razvoj zelenih površina i općenito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poboljšanje urbane infrastrukture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i provedbu koncepta »pametnih gradova«.</w:t>
      </w:r>
    </w:p>
    <w:p w:rsidR="00CD2044" w:rsidRDefault="00CD2044" w:rsidP="00063441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2044" w:rsidRPr="00063441" w:rsidRDefault="00CD2044" w:rsidP="00CD2044">
      <w:pPr>
        <w:spacing w:after="0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4880344" cy="2793464"/>
            <wp:effectExtent l="0" t="0" r="0" b="698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ni ciljev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591" cy="280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2044" w:rsidRDefault="00CD2044" w:rsidP="00063441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6"/>
          <w:u w:val="single"/>
          <w:lang w:eastAsia="hr-HR"/>
        </w:rPr>
      </w:pP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B050"/>
          <w:szCs w:val="24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4"/>
          <w:szCs w:val="26"/>
          <w:u w:val="single"/>
          <w:lang w:eastAsia="hr-HR"/>
        </w:rPr>
        <w:t>Digitalna tranzicija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Digitalna transformacija iziskuje razumijevanje važnosti upotrebe informacijskih tehnologija, budući da je digitalna transformacija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sustavna strukturna promjena. P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odrška menadžmenta ključan je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preduvjet za uspješnu provedbu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promjena. Osiguranjem dostupnosti podataka i poticanjem inicijativa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„</w:t>
      </w:r>
      <w:proofErr w:type="spellStart"/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open</w:t>
      </w:r>
      <w:proofErr w:type="spellEnd"/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frendly</w:t>
      </w:r>
      <w:proofErr w:type="spellEnd"/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“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»otvorenih podataka«</w:t>
      </w:r>
      <w:r w:rsidR="00085863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potaknuti ćemo 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korištenje korisnih baza podataka, te potaknuti na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educiranje u cilju 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zadovoljavanja potreba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dodatnim znanjem kako bi se u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manjio rizik 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od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nepotpu</w:t>
      </w:r>
      <w:r w:rsidR="00A0219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nog shvaćanja ekoloških izazova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063441" w:rsidRDefault="00085863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Daljnjim razvojem tehnologija 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prostornih podataka i digitalnom transformacijom prostornih planova osigurat će se 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hr-HR"/>
        </w:rPr>
        <w:t>vjerodostojni prostorni podaci</w:t>
      </w:r>
      <w:r w:rsidR="00063441"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koji čine jednu od najvrjednijih vrsta podataka čime će se stvoriti preduvjeti za promjene.</w:t>
      </w:r>
    </w:p>
    <w:p w:rsidR="00CD2044" w:rsidRDefault="00CD2044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85863" w:rsidRDefault="00085863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85863" w:rsidRDefault="005A127A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hyperlink r:id="rId13" w:history="1">
        <w:r w:rsidR="00085863" w:rsidRPr="00665279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https://panj.crogis.hr/</w:t>
        </w:r>
      </w:hyperlink>
    </w:p>
    <w:p w:rsidR="00085863" w:rsidRDefault="00A02194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Udruga</w:t>
      </w:r>
      <w:r w:rsidR="0008586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„Zasadi stablo, ne budi panj!“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već ima u potpunosti osposobljenu digitalnu kartografsku vizualizaciju svih zasađenih lokaliteta</w:t>
      </w:r>
      <w:r w:rsidR="001667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sa mogućnošću u</w:t>
      </w:r>
      <w:r w:rsidR="00EE68D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nosa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popratnih informacija, a izrađenu u suradnji sa CROGIS-om, Centrom za održivi razvoj GIS tehnologijama.</w:t>
      </w:r>
    </w:p>
    <w:p w:rsidR="00063441" w:rsidRDefault="00EE68D2" w:rsidP="00EE68D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22C26ACC" wp14:editId="1787E782">
            <wp:extent cx="1562986" cy="13798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gis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989" cy="143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FC" w:rsidRPr="007341FC" w:rsidRDefault="007341FC" w:rsidP="00063441">
      <w:pPr>
        <w:spacing w:after="0" w:line="240" w:lineRule="auto"/>
        <w:rPr>
          <w:rFonts w:ascii="Arial" w:eastAsia="Times New Roman" w:hAnsi="Arial" w:cs="Arial"/>
          <w:b/>
          <w:color w:val="00B050"/>
          <w:sz w:val="40"/>
          <w:szCs w:val="24"/>
          <w:u w:val="single"/>
          <w:lang w:eastAsia="hr-HR"/>
        </w:rPr>
      </w:pPr>
      <w:proofErr w:type="spellStart"/>
      <w:r w:rsidRPr="007341FC">
        <w:rPr>
          <w:rFonts w:ascii="Arial" w:eastAsia="Times New Roman" w:hAnsi="Arial" w:cs="Arial"/>
          <w:b/>
          <w:color w:val="00B050"/>
          <w:sz w:val="40"/>
          <w:szCs w:val="24"/>
          <w:u w:val="single"/>
          <w:lang w:eastAsia="hr-HR"/>
        </w:rPr>
        <w:t>EduTree</w:t>
      </w:r>
      <w:proofErr w:type="spellEnd"/>
      <w:r w:rsidRPr="007341FC">
        <w:rPr>
          <w:rFonts w:ascii="Arial" w:eastAsia="Times New Roman" w:hAnsi="Arial" w:cs="Arial"/>
          <w:b/>
          <w:color w:val="00B050"/>
          <w:sz w:val="40"/>
          <w:szCs w:val="24"/>
          <w:u w:val="single"/>
          <w:lang w:eastAsia="hr-HR"/>
        </w:rPr>
        <w:t xml:space="preserve"> platforma</w:t>
      </w:r>
    </w:p>
    <w:p w:rsidR="007341FC" w:rsidRDefault="007341FC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7341FC" w:rsidRDefault="007341FC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Sad</w:t>
      </w:r>
      <w:r w:rsidR="00EE68D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</w:t>
      </w:r>
      <w:r w:rsidR="001667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kada smo napravili kratak ali vrlo bitan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zaključak o važnosti svakog pojedinačnog sudjelovanja, vrijeme je da se prije sadnje podsjetimo na pravilan proces sadnje </w:t>
      </w:r>
      <w:r w:rsidR="001667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sadnica.</w:t>
      </w:r>
    </w:p>
    <w:p w:rsidR="00063441" w:rsidRDefault="00063441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341FC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cilju što kvalitetnije sadnje te </w:t>
      </w:r>
      <w:r w:rsidRPr="007341FC">
        <w:rPr>
          <w:rFonts w:ascii="Arial" w:eastAsia="Times New Roman" w:hAnsi="Arial" w:cs="Arial"/>
          <w:sz w:val="24"/>
          <w:szCs w:val="24"/>
          <w:lang w:eastAsia="hr-HR"/>
        </w:rPr>
        <w:t>u svrhu smanjenja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mortaliteta sadnog materijala, izradili smo 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dvije filmske 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>demonstracije sadnje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„Power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>Point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prezentaciju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, te ove podatke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možete koristiti kao edukati</w:t>
      </w:r>
      <w:r w:rsidR="007341FC">
        <w:rPr>
          <w:rFonts w:ascii="Arial" w:eastAsia="Times New Roman" w:hAnsi="Arial" w:cs="Arial"/>
          <w:sz w:val="24"/>
          <w:szCs w:val="24"/>
          <w:lang w:eastAsia="hr-HR"/>
        </w:rPr>
        <w:t xml:space="preserve">vne materijale </w:t>
      </w:r>
      <w:r w:rsidR="00EE68D2">
        <w:rPr>
          <w:rFonts w:ascii="Arial" w:eastAsia="Times New Roman" w:hAnsi="Arial" w:cs="Arial"/>
          <w:sz w:val="24"/>
          <w:szCs w:val="24"/>
          <w:lang w:eastAsia="hr-HR"/>
        </w:rPr>
        <w:t>neposredno prije sadnje ili</w:t>
      </w:r>
      <w:r w:rsidR="007341FC">
        <w:rPr>
          <w:rFonts w:ascii="Arial" w:eastAsia="Times New Roman" w:hAnsi="Arial" w:cs="Arial"/>
          <w:sz w:val="24"/>
          <w:szCs w:val="24"/>
          <w:lang w:eastAsia="hr-HR"/>
        </w:rPr>
        <w:t xml:space="preserve"> tokom sadnje</w:t>
      </w:r>
      <w:r w:rsidR="00EE68D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kako bi svi sudionici stekli potrebno znanje.</w:t>
      </w:r>
    </w:p>
    <w:p w:rsidR="00EE68D2" w:rsidRDefault="00EE68D2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68D2" w:rsidRPr="00EE68D2" w:rsidRDefault="00EE68D2" w:rsidP="00EE68D2">
      <w:pPr>
        <w:rPr>
          <w:rFonts w:ascii="Arial" w:hAnsi="Arial" w:cs="Arial"/>
          <w:sz w:val="24"/>
        </w:rPr>
      </w:pPr>
      <w:r w:rsidRPr="00EE68D2">
        <w:rPr>
          <w:rFonts w:ascii="Arial" w:hAnsi="Arial" w:cs="Arial"/>
          <w:sz w:val="24"/>
        </w:rPr>
        <w:t xml:space="preserve">Pokazne demonstracije </w:t>
      </w:r>
      <w:r>
        <w:rPr>
          <w:rFonts w:ascii="Arial" w:hAnsi="Arial" w:cs="Arial"/>
          <w:sz w:val="24"/>
        </w:rPr>
        <w:t>je održao</w:t>
      </w:r>
      <w:r w:rsidRPr="00EE68D2">
        <w:rPr>
          <w:rFonts w:ascii="Arial" w:hAnsi="Arial" w:cs="Arial"/>
          <w:sz w:val="24"/>
        </w:rPr>
        <w:t xml:space="preserve"> doc. dr. sc. </w:t>
      </w:r>
      <w:r w:rsidRPr="00EE68D2">
        <w:rPr>
          <w:rFonts w:ascii="Arial" w:hAnsi="Arial" w:cs="Arial"/>
          <w:b/>
          <w:sz w:val="24"/>
        </w:rPr>
        <w:t xml:space="preserve">Damir </w:t>
      </w:r>
      <w:proofErr w:type="spellStart"/>
      <w:r w:rsidRPr="00EE68D2">
        <w:rPr>
          <w:rFonts w:ascii="Arial" w:hAnsi="Arial" w:cs="Arial"/>
          <w:b/>
          <w:sz w:val="24"/>
        </w:rPr>
        <w:t>Drvodelić</w:t>
      </w:r>
      <w:proofErr w:type="spellEnd"/>
      <w:r w:rsidRPr="00EE68D2">
        <w:rPr>
          <w:rFonts w:ascii="Arial" w:hAnsi="Arial" w:cs="Arial"/>
          <w:sz w:val="24"/>
        </w:rPr>
        <w:t xml:space="preserve"> s Zavoda za ekologi</w:t>
      </w:r>
      <w:r>
        <w:rPr>
          <w:rFonts w:ascii="Arial" w:hAnsi="Arial" w:cs="Arial"/>
          <w:sz w:val="24"/>
        </w:rPr>
        <w:t>ju i uzgajanje šuma, Sveučilište u Zagrebu, Fakultet</w:t>
      </w:r>
      <w:r w:rsidRPr="00EE68D2">
        <w:rPr>
          <w:rFonts w:ascii="Arial" w:hAnsi="Arial" w:cs="Arial"/>
          <w:sz w:val="24"/>
        </w:rPr>
        <w:t xml:space="preserve"> šumarstva i drvne tehnologije </w:t>
      </w:r>
    </w:p>
    <w:p w:rsidR="00EE68D2" w:rsidRDefault="00EE68D2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68D2" w:rsidRPr="00063441" w:rsidRDefault="00EE68D2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63441" w:rsidRPr="00063441" w:rsidRDefault="007341FC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1667C7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hr-HR"/>
        </w:rPr>
        <w:t>EduTree</w:t>
      </w:r>
      <w:proofErr w:type="spellEnd"/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 platformu koju kreiramo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cilju stvaranja kvalitetni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ji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h 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preduvjet</w:t>
      </w:r>
      <w:r w:rsidR="001667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 za uspješniju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edukaciju i </w:t>
      </w:r>
      <w:r w:rsidR="001667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samu provedbu projekta,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možete pronaći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63441" w:rsidRPr="00063441">
        <w:rPr>
          <w:rFonts w:ascii="Arial" w:eastAsia="Times New Roman" w:hAnsi="Arial" w:cs="Arial"/>
          <w:sz w:val="24"/>
          <w:szCs w:val="24"/>
          <w:lang w:eastAsia="hr-HR"/>
        </w:rPr>
        <w:t>na našoj web adresi </w:t>
      </w:r>
      <w:hyperlink r:id="rId15" w:history="1">
        <w:r w:rsidR="00063441" w:rsidRPr="007341FC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https://zasadistablonebudipanj.hr</w:t>
        </w:r>
      </w:hyperlink>
      <w:r w:rsidR="00EE68D2">
        <w:rPr>
          <w:rFonts w:ascii="Arial" w:eastAsia="Times New Roman" w:hAnsi="Arial" w:cs="Arial"/>
          <w:sz w:val="24"/>
          <w:szCs w:val="24"/>
          <w:lang w:eastAsia="hr-HR"/>
        </w:rPr>
        <w:t xml:space="preserve"> a videozapise 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proofErr w:type="spellStart"/>
      <w:r w:rsidR="001667C7">
        <w:rPr>
          <w:rFonts w:ascii="Arial" w:eastAsia="Times New Roman" w:hAnsi="Arial" w:cs="Arial"/>
          <w:sz w:val="24"/>
          <w:szCs w:val="24"/>
          <w:lang w:eastAsia="hr-HR"/>
        </w:rPr>
        <w:t>YouTube</w:t>
      </w:r>
      <w:proofErr w:type="spellEnd"/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 kanalu Udruge</w:t>
      </w:r>
      <w:r w:rsidR="00EE68D2">
        <w:rPr>
          <w:rFonts w:ascii="Arial" w:eastAsia="Times New Roman" w:hAnsi="Arial" w:cs="Arial"/>
          <w:sz w:val="24"/>
          <w:szCs w:val="24"/>
          <w:lang w:eastAsia="hr-HR"/>
        </w:rPr>
        <w:t xml:space="preserve"> ZSNBP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!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sz w:val="24"/>
          <w:szCs w:val="24"/>
          <w:lang w:eastAsia="hr-HR"/>
        </w:rPr>
        <w:t>Cilj provedbe projekta na kolekt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ivan način na nacionalnom nivou,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jest svim sudionicima i onim mogućim potencijalnim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, približiti potrebu osobnog ili društvenog, lokaliziranog </w:t>
      </w:r>
      <w:r w:rsidR="007341FC">
        <w:rPr>
          <w:rFonts w:ascii="Arial" w:eastAsia="Times New Roman" w:hAnsi="Arial" w:cs="Arial"/>
          <w:sz w:val="24"/>
          <w:szCs w:val="24"/>
          <w:lang w:eastAsia="hr-HR"/>
        </w:rPr>
        <w:t xml:space="preserve">ekološkog 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>doprinosa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 xml:space="preserve"> koji rezultir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a sinergijskim učinkom te sukladno načinu </w:t>
      </w:r>
      <w:r w:rsidRPr="00063441">
        <w:rPr>
          <w:rFonts w:ascii="Arial" w:eastAsia="Times New Roman" w:hAnsi="Arial" w:cs="Arial"/>
          <w:sz w:val="24"/>
          <w:szCs w:val="24"/>
          <w:lang w:eastAsia="hr-HR"/>
        </w:rPr>
        <w:t>umrežavanja sudionika potičemo jedni druge na održiv</w:t>
      </w:r>
      <w:r w:rsidR="007341FC">
        <w:rPr>
          <w:rFonts w:ascii="Arial" w:eastAsia="Times New Roman" w:hAnsi="Arial" w:cs="Arial"/>
          <w:sz w:val="24"/>
          <w:szCs w:val="24"/>
          <w:lang w:eastAsia="hr-HR"/>
        </w:rPr>
        <w:t>iji</w:t>
      </w:r>
      <w:r w:rsidR="001667C7">
        <w:rPr>
          <w:rFonts w:ascii="Arial" w:eastAsia="Times New Roman" w:hAnsi="Arial" w:cs="Arial"/>
          <w:sz w:val="24"/>
          <w:szCs w:val="24"/>
          <w:lang w:eastAsia="hr-HR"/>
        </w:rPr>
        <w:t xml:space="preserve"> koncept ophođenja prema okolišu, te se poveća broj aktivnosti usmjerenih na očuvanje prirode.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t>Demonstracija 1:</w:t>
      </w:r>
    </w:p>
    <w:p w:rsidR="00063441" w:rsidRDefault="005A127A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hr-HR"/>
        </w:rPr>
      </w:pPr>
      <w:hyperlink r:id="rId16" w:history="1">
        <w:r w:rsidR="007341FC" w:rsidRPr="00665279">
          <w:rPr>
            <w:rStyle w:val="Hiperveza"/>
            <w:rFonts w:ascii="Arial" w:eastAsia="Times New Roman" w:hAnsi="Arial" w:cs="Arial"/>
            <w:sz w:val="27"/>
            <w:szCs w:val="27"/>
            <w:lang w:eastAsia="hr-HR"/>
          </w:rPr>
          <w:t>https://www.youtube.com/watch?v=xiErW7iqs7k</w:t>
        </w:r>
      </w:hyperlink>
    </w:p>
    <w:p w:rsidR="007341FC" w:rsidRPr="00063441" w:rsidRDefault="007341FC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Sadnja šumskih sadnica golog (hrast lužnjak i obična smreka) i obloženog korijena (</w:t>
      </w:r>
      <w:proofErr w:type="spellStart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r-HR"/>
        </w:rPr>
        <w:t>Abies</w:t>
      </w:r>
      <w:proofErr w:type="spellEnd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r-HR"/>
        </w:rPr>
        <w:t>concolor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var.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glauca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14"/>
          <w:szCs w:val="14"/>
          <w:lang w:eastAsia="hr-HR"/>
        </w:rPr>
        <w:t> </w:t>
      </w: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Sadnja voćaka golog korijena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Sadnja ukrasnog grmlja obloženog korijena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Presadnja biljaka iz lončića u lončić ili iz lončića u kontejner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Vrste gnojiva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Vrste lončića i kontejnera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Vrste etiketa</w:t>
      </w:r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Primjer djelovanja vodnog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absorbenta</w:t>
      </w:r>
      <w:proofErr w:type="spellEnd"/>
    </w:p>
    <w:p w:rsidR="00063441" w:rsidRPr="00063441" w:rsidRDefault="00063441" w:rsidP="0006344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t>Demonstracija 2:</w:t>
      </w:r>
    </w:p>
    <w:p w:rsidR="00063441" w:rsidRDefault="005A127A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hr-HR"/>
        </w:rPr>
      </w:pPr>
      <w:hyperlink r:id="rId17" w:history="1">
        <w:r w:rsidR="007341FC" w:rsidRPr="00665279">
          <w:rPr>
            <w:rStyle w:val="Hiperveza"/>
            <w:rFonts w:ascii="Arial" w:eastAsia="Times New Roman" w:hAnsi="Arial" w:cs="Arial"/>
            <w:sz w:val="27"/>
            <w:szCs w:val="27"/>
            <w:lang w:eastAsia="hr-HR"/>
          </w:rPr>
          <w:t>https://www.youtube.com/watch?v=zWstGBeAFy4</w:t>
        </w:r>
      </w:hyperlink>
    </w:p>
    <w:p w:rsidR="007341FC" w:rsidRPr="00063441" w:rsidRDefault="007341FC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Sadnja stablašice </w:t>
      </w:r>
      <w:proofErr w:type="spellStart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r-HR"/>
        </w:rPr>
        <w:t>Ginkgo</w:t>
      </w:r>
      <w:proofErr w:type="spellEnd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0634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r-HR"/>
        </w:rPr>
        <w:t>biloba</w:t>
      </w:r>
      <w:proofErr w:type="spellEnd"/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Pregled zdravstvenog stanja sadnice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Pregled grana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Mjerenje opsega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Označavanje smjera sjever-jug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Zašto je važna i kako odabrati lokaciju za sadnju?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Dubina sadne jame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Orezivanje oštećenog korijena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Gnojidba prije sadnje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Sidrenje, fiksacija i zatrpavanje sadnice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Postavljanje vertikalne zaštitne ograde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Slivne vode i zalijevanje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Izbor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malča</w:t>
      </w:r>
      <w:proofErr w:type="spellEnd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malčiranje</w:t>
      </w:r>
      <w:proofErr w:type="spellEnd"/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Upisivanje u evidenciju (katastar stabala)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Osobni utjecaj na sadnju i važnost sadnje</w:t>
      </w:r>
    </w:p>
    <w:p w:rsidR="00063441" w:rsidRP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6344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Važnost educiranja o sadnji zbog smanjenja procenta mortaliteta sadnica</w:t>
      </w:r>
    </w:p>
    <w:p w:rsidR="00063441" w:rsidRDefault="00063441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2044" w:rsidRDefault="00CD2044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2044" w:rsidRPr="00063441" w:rsidRDefault="00CD2044" w:rsidP="0006344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63441" w:rsidRDefault="00913B45" w:rsidP="00063441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  <w:t>Power Point prezentacija-vizualni sažetak demonstracija</w:t>
      </w:r>
    </w:p>
    <w:p w:rsidR="00913B45" w:rsidRDefault="00913B45" w:rsidP="00063441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</w:pPr>
    </w:p>
    <w:p w:rsidR="00913B45" w:rsidRDefault="005A127A" w:rsidP="00063441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</w:pPr>
      <w:hyperlink r:id="rId18" w:history="1">
        <w:proofErr w:type="spellStart"/>
        <w:r w:rsidR="00913B45" w:rsidRPr="00913B45">
          <w:rPr>
            <w:rStyle w:val="Hiperveza"/>
            <w:rFonts w:ascii="Arial" w:eastAsia="Times New Roman" w:hAnsi="Arial" w:cs="Arial"/>
            <w:b/>
            <w:bCs/>
            <w:sz w:val="27"/>
            <w:szCs w:val="27"/>
            <w:lang w:eastAsia="hr-HR"/>
          </w:rPr>
          <w:t>EduTree</w:t>
        </w:r>
        <w:proofErr w:type="spellEnd"/>
        <w:r w:rsidR="00913B45" w:rsidRPr="00913B45">
          <w:rPr>
            <w:rStyle w:val="Hiperveza"/>
            <w:rFonts w:ascii="Arial" w:eastAsia="Times New Roman" w:hAnsi="Arial" w:cs="Arial"/>
            <w:b/>
            <w:bCs/>
            <w:sz w:val="27"/>
            <w:szCs w:val="27"/>
            <w:lang w:eastAsia="hr-HR"/>
          </w:rPr>
          <w:t xml:space="preserve"> Damir </w:t>
        </w:r>
        <w:proofErr w:type="spellStart"/>
        <w:r w:rsidR="00913B45" w:rsidRPr="00913B45">
          <w:rPr>
            <w:rStyle w:val="Hiperveza"/>
            <w:rFonts w:ascii="Arial" w:eastAsia="Times New Roman" w:hAnsi="Arial" w:cs="Arial"/>
            <w:b/>
            <w:bCs/>
            <w:sz w:val="27"/>
            <w:szCs w:val="27"/>
            <w:lang w:eastAsia="hr-HR"/>
          </w:rPr>
          <w:t>Drvodelić</w:t>
        </w:r>
        <w:proofErr w:type="spellEnd"/>
        <w:r w:rsidR="00913B45" w:rsidRPr="00913B45">
          <w:rPr>
            <w:rStyle w:val="Hiperveza"/>
            <w:rFonts w:ascii="Arial" w:eastAsia="Times New Roman" w:hAnsi="Arial" w:cs="Arial"/>
            <w:b/>
            <w:bCs/>
            <w:sz w:val="27"/>
            <w:szCs w:val="27"/>
            <w:lang w:eastAsia="hr-HR"/>
          </w:rPr>
          <w:t xml:space="preserve"> Zasadi stablo, ne budi panj!.</w:t>
        </w:r>
        <w:proofErr w:type="spellStart"/>
        <w:r w:rsidR="00913B45" w:rsidRPr="00913B45">
          <w:rPr>
            <w:rStyle w:val="Hiperveza"/>
            <w:rFonts w:ascii="Arial" w:eastAsia="Times New Roman" w:hAnsi="Arial" w:cs="Arial"/>
            <w:b/>
            <w:bCs/>
            <w:sz w:val="27"/>
            <w:szCs w:val="27"/>
            <w:lang w:eastAsia="hr-HR"/>
          </w:rPr>
          <w:t>pptx</w:t>
        </w:r>
        <w:proofErr w:type="spellEnd"/>
      </w:hyperlink>
    </w:p>
    <w:p w:rsidR="00913B45" w:rsidRDefault="00913B45" w:rsidP="00063441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lang w:eastAsia="hr-HR"/>
        </w:rPr>
      </w:pPr>
    </w:p>
    <w:p w:rsidR="005A127A" w:rsidRDefault="005A127A" w:rsidP="005A127A">
      <w:pPr>
        <w:spacing w:after="0" w:line="240" w:lineRule="auto"/>
        <w:rPr>
          <w:sz w:val="32"/>
        </w:rPr>
      </w:pPr>
    </w:p>
    <w:p w:rsidR="005A127A" w:rsidRPr="005A127A" w:rsidRDefault="005A127A" w:rsidP="005A127A">
      <w:pPr>
        <w:spacing w:after="0" w:line="240" w:lineRule="auto"/>
        <w:rPr>
          <w:sz w:val="32"/>
        </w:rPr>
      </w:pPr>
      <w:r w:rsidRPr="005A127A">
        <w:rPr>
          <w:sz w:val="32"/>
        </w:rPr>
        <w:t xml:space="preserve">Nakon provedbe projekta na </w:t>
      </w:r>
      <w:r>
        <w:rPr>
          <w:sz w:val="32"/>
        </w:rPr>
        <w:t>ovom linku označavate lokalitet-</w:t>
      </w:r>
      <w:r w:rsidRPr="005A127A">
        <w:rPr>
          <w:sz w:val="32"/>
          <w:highlight w:val="yellow"/>
        </w:rPr>
        <w:t>obvezno*</w:t>
      </w:r>
    </w:p>
    <w:p w:rsidR="005A127A" w:rsidRPr="005A127A" w:rsidRDefault="005A127A" w:rsidP="005A127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hr-HR"/>
        </w:rPr>
      </w:pPr>
      <w:hyperlink r:id="rId19" w:history="1">
        <w:r w:rsidRPr="005A127A">
          <w:rPr>
            <w:rStyle w:val="Hiperveza"/>
            <w:rFonts w:ascii="Arial" w:eastAsia="Times New Roman" w:hAnsi="Arial" w:cs="Arial"/>
            <w:b/>
            <w:sz w:val="28"/>
            <w:szCs w:val="24"/>
            <w:lang w:eastAsia="hr-HR"/>
          </w:rPr>
          <w:t>https://panj.crogis.hr/</w:t>
        </w:r>
      </w:hyperlink>
    </w:p>
    <w:p w:rsidR="00A27D30" w:rsidRDefault="005A127A" w:rsidP="005A127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Udruga „Zasadi stablo, ne budi panj!“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digitalna kartografska vizualizacija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svih zasađenih lokaliteta, sa mogućnošću unosa 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opratnih informacija, a izrađena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 suradnji sa CROGIS-om, Centrom za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drživi razvoj GIS tehnologijama</w:t>
      </w:r>
      <w:bookmarkStart w:id="0" w:name="_GoBack"/>
      <w:bookmarkEnd w:id="0"/>
    </w:p>
    <w:p w:rsidR="005A127A" w:rsidRDefault="005A127A" w:rsidP="005A127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Nakon registracije putem Vaše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email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adrese, unos podataka biti će omogućen. </w:t>
      </w:r>
    </w:p>
    <w:p w:rsidR="005A127A" w:rsidRDefault="005A127A" w:rsidP="005A127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5A127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hr-HR"/>
        </w:rPr>
        <w:t xml:space="preserve">Molimo Vas da ne preskačete i ne </w:t>
      </w:r>
      <w:proofErr w:type="spellStart"/>
      <w:r w:rsidRPr="005A127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hr-HR"/>
        </w:rPr>
        <w:t>zanemariteovaj</w:t>
      </w:r>
      <w:proofErr w:type="spellEnd"/>
      <w:r w:rsidRPr="005A127A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hr-HR"/>
        </w:rPr>
        <w:t xml:space="preserve"> korak kako bismo mogli pratiti uspješnost projekta te statističke podatke!</w:t>
      </w:r>
    </w:p>
    <w:p w:rsidR="005A127A" w:rsidRDefault="005A127A" w:rsidP="005A127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5A127A" w:rsidRPr="005A127A" w:rsidRDefault="005A127A" w:rsidP="005A127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>
            <wp:extent cx="1531089" cy="153108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ni pečat jednoboj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523" cy="15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45" w:rsidRDefault="00913B45">
      <w:pPr>
        <w:rPr>
          <w:rFonts w:ascii="Arial" w:hAnsi="Arial" w:cs="Arial"/>
          <w:color w:val="000000" w:themeColor="text1"/>
        </w:rPr>
      </w:pPr>
    </w:p>
    <w:p w:rsidR="005A127A" w:rsidRDefault="005A127A">
      <w:pPr>
        <w:rPr>
          <w:rFonts w:ascii="Arial" w:hAnsi="Arial" w:cs="Arial"/>
          <w:b/>
          <w:color w:val="000000" w:themeColor="text1"/>
          <w:sz w:val="24"/>
        </w:rPr>
      </w:pPr>
    </w:p>
    <w:p w:rsidR="00913B45" w:rsidRPr="00913B45" w:rsidRDefault="00913B45">
      <w:pPr>
        <w:rPr>
          <w:rFonts w:ascii="Arial" w:hAnsi="Arial" w:cs="Arial"/>
          <w:b/>
          <w:color w:val="000000" w:themeColor="text1"/>
          <w:sz w:val="24"/>
        </w:rPr>
      </w:pPr>
      <w:r w:rsidRPr="00913B45">
        <w:rPr>
          <w:rFonts w:ascii="Arial" w:hAnsi="Arial" w:cs="Arial"/>
          <w:b/>
          <w:color w:val="000000" w:themeColor="text1"/>
          <w:sz w:val="24"/>
        </w:rPr>
        <w:t>SPONZORI:</w:t>
      </w:r>
    </w:p>
    <w:p w:rsidR="00627399" w:rsidRDefault="00627399">
      <w:pPr>
        <w:rPr>
          <w:rFonts w:ascii="Arial" w:hAnsi="Arial" w:cs="Arial"/>
          <w:color w:val="000000" w:themeColor="text1"/>
        </w:rPr>
      </w:pPr>
    </w:p>
    <w:p w:rsidR="00627399" w:rsidRDefault="00627399" w:rsidP="00913B4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>
            <wp:extent cx="4873796" cy="967563"/>
            <wp:effectExtent l="0" t="0" r="317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_logo blu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898" cy="9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</w:p>
    <w:p w:rsidR="00627399" w:rsidRDefault="00627399" w:rsidP="00913B4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 wp14:anchorId="1270281D" wp14:editId="73BF93DC">
            <wp:extent cx="4880345" cy="254217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rbank log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903" cy="25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</w:p>
    <w:p w:rsidR="00627399" w:rsidRDefault="00627399" w:rsidP="00913B4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 wp14:anchorId="7A5F3898" wp14:editId="320B1814">
            <wp:extent cx="4476307" cy="2295828"/>
            <wp:effectExtent l="0" t="0" r="63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na logo (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989" cy="229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45" w:rsidRDefault="00913B45">
      <w:pPr>
        <w:rPr>
          <w:rFonts w:ascii="Arial" w:hAnsi="Arial" w:cs="Arial"/>
          <w:b/>
          <w:color w:val="000000" w:themeColor="text1"/>
          <w:sz w:val="24"/>
        </w:rPr>
      </w:pPr>
      <w:r w:rsidRPr="00913B45">
        <w:rPr>
          <w:rFonts w:ascii="Arial" w:hAnsi="Arial" w:cs="Arial"/>
          <w:b/>
          <w:color w:val="000000" w:themeColor="text1"/>
          <w:sz w:val="24"/>
        </w:rPr>
        <w:lastRenderedPageBreak/>
        <w:t>STRATEŠKI PARTNERI:</w:t>
      </w:r>
    </w:p>
    <w:p w:rsidR="00913B45" w:rsidRPr="00913B45" w:rsidRDefault="00913B45">
      <w:pPr>
        <w:rPr>
          <w:rFonts w:ascii="Arial" w:hAnsi="Arial" w:cs="Arial"/>
          <w:b/>
          <w:color w:val="000000" w:themeColor="text1"/>
          <w:sz w:val="24"/>
        </w:rPr>
      </w:pP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>
            <wp:extent cx="5220586" cy="1268602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dog logo v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856" cy="12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45" w:rsidRDefault="00913B45" w:rsidP="00913B45">
      <w:pPr>
        <w:rPr>
          <w:rFonts w:ascii="Arial" w:hAnsi="Arial" w:cs="Arial"/>
          <w:color w:val="000000" w:themeColor="text1"/>
        </w:rPr>
      </w:pPr>
    </w:p>
    <w:p w:rsidR="00913B45" w:rsidRDefault="00913B45" w:rsidP="00913B4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>
            <wp:extent cx="4306186" cy="2683783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element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845" cy="269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45" w:rsidRPr="00063441" w:rsidRDefault="00913B45" w:rsidP="00CD2044">
      <w:pPr>
        <w:jc w:val="center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drawing>
          <wp:inline distT="0" distB="0" distL="0" distR="0" wp14:anchorId="6512D9C7" wp14:editId="1F399AC3">
            <wp:extent cx="3203571" cy="2828261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gis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197" cy="283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43F"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</w:p>
    <w:sectPr w:rsidR="00913B45" w:rsidRPr="00063441" w:rsidSect="00D42F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449A"/>
    <w:multiLevelType w:val="hybridMultilevel"/>
    <w:tmpl w:val="BA76C198"/>
    <w:lvl w:ilvl="0" w:tplc="E968D952">
      <w:start w:val="270"/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5F"/>
    <w:rsid w:val="0006177B"/>
    <w:rsid w:val="00063441"/>
    <w:rsid w:val="00085863"/>
    <w:rsid w:val="001667C7"/>
    <w:rsid w:val="005A127A"/>
    <w:rsid w:val="00627399"/>
    <w:rsid w:val="007341FC"/>
    <w:rsid w:val="007A3A3D"/>
    <w:rsid w:val="008C1B5F"/>
    <w:rsid w:val="00913B45"/>
    <w:rsid w:val="00984B69"/>
    <w:rsid w:val="00A02194"/>
    <w:rsid w:val="00A27D30"/>
    <w:rsid w:val="00CA443F"/>
    <w:rsid w:val="00CD2044"/>
    <w:rsid w:val="00D42F27"/>
    <w:rsid w:val="00E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34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3A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F2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34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3A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F2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panj.crogis.hr/" TargetMode="External"/><Relationship Id="rId18" Type="http://schemas.openxmlformats.org/officeDocument/2006/relationships/hyperlink" Target="EduTree%20Damir%20Drvodeli&#263;%20Zasadi%20stablo,%20ne%20budi%20panj!.ppt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yperlink" Target="https://www.youtube.com/watch?v=zWstGBeAFy4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ErW7iqs7k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zasadistablonebudipanj.hr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hyperlink" Target="https://panj.crogis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Mateja-Angelina</dc:creator>
  <cp:keywords/>
  <dc:description/>
  <cp:lastModifiedBy>Mateja-Angelina</cp:lastModifiedBy>
  <cp:revision>5</cp:revision>
  <dcterms:created xsi:type="dcterms:W3CDTF">2021-02-28T18:22:00Z</dcterms:created>
  <dcterms:modified xsi:type="dcterms:W3CDTF">2021-02-28T22:54:00Z</dcterms:modified>
</cp:coreProperties>
</file>