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3733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37331" w:rsidRDefault="000214C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37331" w:rsidRDefault="000214C2">
            <w:pPr>
              <w:spacing w:after="0" w:line="240" w:lineRule="auto"/>
            </w:pPr>
            <w:r>
              <w:t>9193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37331" w:rsidRDefault="000214C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37331" w:rsidRDefault="000214C2">
            <w:pPr>
              <w:spacing w:after="0" w:line="240" w:lineRule="auto"/>
            </w:pPr>
            <w:r>
              <w:t>OSNOVNA ŠKOLA DORE PEJAČEVIĆ NAŠICE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37331" w:rsidRDefault="000214C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37331" w:rsidRDefault="000214C2">
            <w:pPr>
              <w:spacing w:after="0" w:line="240" w:lineRule="auto"/>
            </w:pPr>
            <w:r>
              <w:t>31</w:t>
            </w:r>
          </w:p>
        </w:tc>
      </w:tr>
    </w:tbl>
    <w:p w:rsidR="00737331" w:rsidRDefault="000214C2">
      <w:r>
        <w:br/>
      </w:r>
    </w:p>
    <w:p w:rsidR="00737331" w:rsidRDefault="000214C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37331" w:rsidRDefault="000214C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37331" w:rsidRDefault="000214C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37331" w:rsidRDefault="00737331"/>
    <w:p w:rsidR="00737331" w:rsidRDefault="000214C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37331" w:rsidRDefault="000214C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3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2.251.436,46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2.401.852,75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106,7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2.186.375,20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2.525.114,51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7373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123.261,76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64.708,14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51.774,11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7373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64.708,14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51.774,11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80,0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7373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7373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175.035,87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37331" w:rsidRDefault="00737331">
      <w:pPr>
        <w:spacing w:after="0"/>
      </w:pPr>
    </w:p>
    <w:p w:rsidR="00737331" w:rsidRDefault="000214C2">
      <w:r>
        <w:t>OBRAZAC PR-RAS</w:t>
      </w:r>
    </w:p>
    <w:p w:rsidR="00737331" w:rsidRDefault="000214C2">
      <w:r>
        <w:t>Ukupni prihodi i primici za 2026.godinu, veći su za 6,7% u odnosu na 2025.g., a ukupni rashodi i izdaci su također veći za 14,5%.</w:t>
      </w:r>
    </w:p>
    <w:p w:rsidR="00737331" w:rsidRDefault="000214C2">
      <w:r>
        <w:t xml:space="preserve">Zatim, u 2026.g. ostvaren je manjak u iznosu 175.035, 87 </w:t>
      </w:r>
      <w:proofErr w:type="spellStart"/>
      <w:r>
        <w:t>eur</w:t>
      </w:r>
      <w:proofErr w:type="spellEnd"/>
      <w:r>
        <w:t xml:space="preserve">, dok je na kraju 2025.g. ostvaren višak u iznosu 353,12 </w:t>
      </w:r>
      <w:proofErr w:type="spellStart"/>
      <w:r>
        <w:t>eur</w:t>
      </w:r>
      <w:proofErr w:type="spellEnd"/>
      <w:r>
        <w:t>. Razl</w:t>
      </w:r>
      <w:r>
        <w:t xml:space="preserve">og takve razlike je u tome, što je uveden novi način </w:t>
      </w:r>
      <w:r>
        <w:lastRenderedPageBreak/>
        <w:t>knjiženja rashoda za zaposlene (plaće, naknade, nagrade itd.), gdje se rashod za zaposlene za 12.mjesec 2025.g. knjiži u 2025.g., dok se prihod evidentira u 1.mjesecu 2026.g. </w:t>
      </w:r>
    </w:p>
    <w:p w:rsidR="00737331" w:rsidRDefault="000214C2">
      <w:r>
        <w:t xml:space="preserve">Taj iznos od 179.927,98 </w:t>
      </w:r>
      <w:proofErr w:type="spellStart"/>
      <w:r>
        <w:t>eur</w:t>
      </w:r>
      <w:proofErr w:type="spellEnd"/>
      <w:r>
        <w:t xml:space="preserve">, iskazan je na 96 obračunati prihodi poslovanja-nenaplaćeni, (šifra 96), a prošle godine je on bio 1.078,50 </w:t>
      </w:r>
      <w:proofErr w:type="spellStart"/>
      <w:r>
        <w:t>eur</w:t>
      </w:r>
      <w:proofErr w:type="spellEnd"/>
      <w:r>
        <w:t>.</w:t>
      </w:r>
    </w:p>
    <w:p w:rsidR="00737331" w:rsidRDefault="000214C2">
      <w:r>
        <w:t>OBRAZAC BILANCA</w:t>
      </w:r>
    </w:p>
    <w:p w:rsidR="00737331" w:rsidRDefault="000214C2">
      <w:r>
        <w:t>Nefinancijska imovina povećala se u iznosu većem za 33,7% u odnosu na 2025.g., (šifra B002). Povećani iznos se pretežno odnosi</w:t>
      </w:r>
      <w:r>
        <w:t xml:space="preserve"> na potpunu adaptaciju školskog igrališta u dvorištu matične škole.</w:t>
      </w:r>
    </w:p>
    <w:p w:rsidR="00737331" w:rsidRDefault="000214C2">
      <w:r>
        <w:t>Potraživanja za prihode poslovanja 16 (šifra 16) i obračunati prihodi poslovanja 96 (šifra 96), znatno su povećani (preko 2.200 %), iz razloga navedenog kod obrasca PR-RAS, (novi način knj</w:t>
      </w:r>
      <w:r>
        <w:t>iženja rashoda za zaposlene,  tj. priznavanja prihoda za 12.mj. tekuće godine, u 1.mj.  slijedeće godine).</w:t>
      </w:r>
    </w:p>
    <w:p w:rsidR="00737331" w:rsidRDefault="000214C2">
      <w:r>
        <w:t>RAS-FUNKCIJSKI</w:t>
      </w:r>
    </w:p>
    <w:p w:rsidR="00737331" w:rsidRDefault="000214C2">
      <w:r>
        <w:t>Ovaj obrazac obuhvaća rashode koji pripadaju osnovnom obrazovanju, (šifra 0912) te dodatne usluge u obrazovanju koje se odnose na preh</w:t>
      </w:r>
      <w:r>
        <w:t>ranu učenika u školskoj kuhinji, (šifra 096). Rashodi osnovnog obrazovanja povećani su za 15,5%, a rashodi dodatnih usluga, smanjeni su za 2,5%.</w:t>
      </w:r>
    </w:p>
    <w:p w:rsidR="00737331" w:rsidRDefault="000214C2">
      <w:r>
        <w:t> P-VRIO</w:t>
      </w:r>
    </w:p>
    <w:p w:rsidR="00737331" w:rsidRDefault="000214C2">
      <w:r>
        <w:t>Evidentirano je povećanje obujma proizvedene dugotrajne imovine za iznos 191.548,36eur (šifra P018), ko</w:t>
      </w:r>
      <w:r>
        <w:t xml:space="preserve">je se odnosi na imovinu financiranu od strane Osječko-baranjske županije, dok se smanjenje proizvedene dugotrajne imovine odnosi na rashodovanje - 95.562,44 </w:t>
      </w:r>
      <w:proofErr w:type="spellStart"/>
      <w:r>
        <w:t>eur</w:t>
      </w:r>
      <w:proofErr w:type="spellEnd"/>
      <w:r>
        <w:t xml:space="preserve"> (šifra P003).</w:t>
      </w:r>
    </w:p>
    <w:p w:rsidR="00737331" w:rsidRDefault="000214C2">
      <w:r>
        <w:t>OBVEZE</w:t>
      </w:r>
    </w:p>
    <w:p w:rsidR="00737331" w:rsidRDefault="000214C2">
      <w:r>
        <w:t xml:space="preserve">Iznos od 198.042,24 </w:t>
      </w:r>
      <w:proofErr w:type="spellStart"/>
      <w:r>
        <w:t>eur</w:t>
      </w:r>
      <w:proofErr w:type="spellEnd"/>
      <w:r>
        <w:t xml:space="preserve"> (šifra V006 i V009), odnosi se na obveze iz 12.mje</w:t>
      </w:r>
      <w:r>
        <w:t>seca 2025.g. i obuhvaća obveze za rashode za zaposlene, zatim materijalne i financijske rashode za fiksne i tekuće troškove poslovanja te obveze za nabavu nefinancijske imovine. Sve obveze su nedospjele.</w:t>
      </w:r>
    </w:p>
    <w:p w:rsidR="00737331" w:rsidRDefault="000214C2">
      <w:r>
        <w:t> </w:t>
      </w:r>
    </w:p>
    <w:p w:rsidR="00737331" w:rsidRDefault="000214C2">
      <w:r>
        <w:br/>
      </w:r>
    </w:p>
    <w:p w:rsidR="00737331" w:rsidRDefault="000214C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37331" w:rsidRDefault="000214C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3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3733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73733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37331" w:rsidRDefault="000214C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37331" w:rsidRDefault="00737331">
      <w:pPr>
        <w:spacing w:after="0"/>
      </w:pPr>
    </w:p>
    <w:p w:rsidR="00737331" w:rsidRDefault="000214C2">
      <w:r>
        <w:t xml:space="preserve">Stanje dospjeli obveza iznosi 0,00 (šifra V007), jer su sve obveze nedospjele, a iznose 198.042,24 </w:t>
      </w:r>
      <w:proofErr w:type="spellStart"/>
      <w:r>
        <w:t>eur</w:t>
      </w:r>
      <w:proofErr w:type="spellEnd"/>
      <w:r>
        <w:t xml:space="preserve"> (šifra V006 = V009).</w:t>
      </w:r>
      <w:bookmarkStart w:id="0" w:name="_GoBack"/>
      <w:bookmarkEnd w:id="0"/>
    </w:p>
    <w:sectPr w:rsidR="0073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1"/>
    <w:rsid w:val="000214C2"/>
    <w:rsid w:val="0065757F"/>
    <w:rsid w:val="0073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E4E4D-82C2-46CC-BE25-2C970510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2026-01-30T07:49:00Z</dcterms:created>
  <dcterms:modified xsi:type="dcterms:W3CDTF">2026-01-30T07:49:00Z</dcterms:modified>
</cp:coreProperties>
</file>